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М1-МК-Н-96-266.312.143-4-0-67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МК-3, 96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5849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266х312х143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3,8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285х332х165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Гарантия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 года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12480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288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